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WoEigG — Rechte des Wohnungseigentümers aus dem Sondereigentum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Jeder Wohnungseigentümer kann, soweit nicht das Gesetz entgegensteht, mit seinem Sondereigentum nach Belieben verfahren, insbesondere dieses bewohnen, vermieten, verpachten oder in sonstiger Weise nutzen, und andere von Einwirkungen ausschließen.</w:t>
      </w:r>
    </w:p>
    <w:p>
      <w:r>
        <w:t xml:space="preserve">(2) Für Maßnahmen, die über die ordnungsmäßige Instandhaltung und Instandsetzung (Erhaltung) des Sondereigentums hinausgehen, gilt § 20 mit der Maßgabe entsprechend, dass es keiner Gestattung bedarf, soweit keinem der anderen Wohnungseigentümer über das bei einem geordneten Zusammenleben unvermeidliche Maß hinaus ein Nachteil erwächst.</w:t>
      </w:r>
    </w:p>
    <w:p>
      <w:r>
        <w:rPr>
          <w:color w:val="555555"/>
          <w:sz w:val="17"/>
        </w:rPr>
        <w:t xml:space="preserve">Zitiervorschlag: § 13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