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WoBindG — Ermächtigungen</w:t>
      </w:r>
    </w:p>
    <w:p>
      <w:r>
        <w:rPr>
          <w:color w:val="555555"/>
          <w:sz w:val="18"/>
        </w:rPr>
        <w:t xml:space="preserve">Wohnungsbindungsgesetz</w:t>
      </w:r>
    </w:p>
    <w:p>
      <w:r>
        <w:rPr>
          <w:color w:val="555555"/>
          <w:sz w:val="18"/>
        </w:rPr>
        <w:t xml:space="preserve">Stand: 10.06.2019 (konsolidierte Textfassung, kein amtliches Inkrafttretensdatum)</w:t>
      </w:r>
    </w:p>
    <w:p>
      <w:r>
        <w:t xml:space="preserve">(1) Die Landesregierungen werden ermächtigt, zur Durchführung der §§ 8 bis 9 und des § 18f durch Rechtsverordnung Vorschriften zu erlassen über</w:t>
      </w:r>
    </w:p>
    <w:p>
      <w:pPr>
        <w:ind w:left="420"/>
      </w:pPr>
      <w:r>
        <w:t xml:space="preserve">a) die Berechnung der Wirtschaftlichkeit, namentlich auch über die Ermittlung und Anerkennung der Gesamtkosten, der Finanzierungsmittel, der laufenden Aufwendungen (Kapitalkosten und Bewirtschaftungskosten) und der Erträge, die Ermittlung und Anerkennung von Änderungen der Kosten und Finanzierungsmittel, die Begrenzung der Ansätze und Ausweise sowie die Bewertung der Eigenleistung,</w:t>
      </w:r>
    </w:p>
    <w:p>
      <w:pPr>
        <w:ind w:left="420"/>
      </w:pPr>
      <w:r>
        <w:t xml:space="preserve">b) die Zulässigkeit und Berechnung von Umlagen, Vergütungen und Zuschlägen,</w:t>
      </w:r>
    </w:p>
    <w:p>
      <w:pPr>
        <w:ind w:left="420"/>
      </w:pPr>
      <w:r>
        <w:t xml:space="preserve">c) die Berechnung von Wohnflächen,</w:t>
      </w:r>
    </w:p>
    <w:p>
      <w:pPr>
        <w:ind w:left="420"/>
      </w:pPr>
      <w:r>
        <w:t xml:space="preserve">d) die Genehmigung zum Übergang von der Vergleichsmiete zur Kostenmiete,</w:t>
      </w:r>
    </w:p>
    <w:p>
      <w:pPr>
        <w:ind w:left="420"/>
      </w:pPr>
      <w:r>
        <w:t xml:space="preserve">e) die Mietpreisbildung und Mietpreisüberwachung.</w:t>
      </w:r>
    </w:p>
    <w:p>
      <w:r>
        <w:t xml:space="preserve">In der Rechtsverordnung ist vorzusehen, dass</w:t>
      </w:r>
    </w:p>
    <w:p>
      <w:pPr>
        <w:ind w:left="420"/>
      </w:pPr>
      <w:r>
        <w:t xml:space="preserve">a) in Fällen, in denen die als Darlehen gewährten öffentlichen Mittel nach § 16 vorzeitig zurückgezahlt und durch andere Finanzierungsmittel ersetzt worden sind, für die neuen Finanzierungsmittel keine höhere Verzinsung angesetzt werden darf, als im Zeitpunkt der Rückzahlung für das öffentliche Baudarlehen zu entrichten war, solange die Bindung nach § 8 besteht;</w:t>
      </w:r>
    </w:p>
    <w:p>
      <w:pPr>
        <w:ind w:left="420"/>
      </w:pPr>
      <w:r>
        <w:t xml:space="preserve">b) in Fällen, in denen nach § 15 Abs. 2 Satz 2 oder § 16 Abs. 2 oder 7 nur noch einzelne Wohnungen eines Gebäudes als öffentlich gefördert gelten, für die Ermittlung der Kostenmiete dieser Wohnungen die bisherige Art der Wirtschaftlichkeitsberechnung und die im öffentlich geförderten sozialen Wohnungsbau zulässigen Ansätze für Gesamtkosten, Finanzierungsmittel und laufende Aufwendungen weiterhin in der Weise maßgebend bleiben, wie sie für alle bisherigen öffentlich geförderten Wohnungen des Gebäudes maßgebend gewesen wären.</w:t>
      </w:r>
    </w:p>
    <w:p>
      <w:r>
        <w:t xml:space="preserve">(2) Im Rahmen der Ermächtigung nach Absatz 1 kann die Zweite Berechnungsverordnung entsprechend geändert und ergänzt werden.</w:t>
      </w:r>
    </w:p>
    <w:p>
      <w:r>
        <w:t xml:space="preserve">(3) Die Landesregierungen können die Ermächtigung nach Absatz 1 durch Rechtsverordnung auf eine oberste Landesbehörde übertragen.</w:t>
      </w:r>
    </w:p>
    <w:p>
      <w:r>
        <w:rPr>
          <w:color w:val="555555"/>
          <w:sz w:val="17"/>
        </w:rPr>
        <w:t xml:space="preserve">Zitiervorschlag: § 28 WoBindG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https://recht.nulegal.eu/gesetze/WoBindG/28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