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27 WoBindG — Weitergehende Verpflichtungen</w:t>
      </w:r>
    </w:p>
    <w:p>
      <w:r>
        <w:rPr>
          <w:color w:val="555555"/>
          <w:sz w:val="18"/>
        </w:rPr>
        <w:t xml:space="preserve">Wohnungsbindungsgesetz</w:t>
      </w:r>
    </w:p>
    <w:p>
      <w:r>
        <w:rPr>
          <w:color w:val="555555"/>
          <w:sz w:val="18"/>
        </w:rPr>
        <w:t xml:space="preserve">Stand: 10.06.2019 (konsolidierte Textfassung, kein amtliches Inkrafttretensdatum)</w:t>
      </w:r>
    </w:p>
    <w:p>
      <w:r>
        <w:t xml:space="preserve">Weitergehende vertragliche Verpflichtungen der in diesem Gesetz bestimmten Art, die im Zusammenhang mit der Gewährung öffentlicher Mittel vertraglich begründet worden sind oder begründet werden, bleiben wirksam, soweit sie über die Verpflichtungen aus diesem Gesetz hinausgehen; andersartige vertragliche Verpflichtungen bleiben unberührt. Satz 1 gilt nicht für Strafversprechen und Ansprüche auf erhöhte Verzinsung wegen eines Verstoßes gegen die in § 25 Abs. 1 bezeichneten Vorschriften, sofern Geldleistungen nach § 25 Abs. 1 entrichtet worden sind.</w:t>
      </w:r>
    </w:p>
    <w:p>
      <w:r>
        <w:rPr>
          <w:color w:val="555555"/>
          <w:sz w:val="17"/>
        </w:rPr>
        <w:t xml:space="preserve">Zitiervorschlag: § 27 WoBindG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https://recht.nulegal.eu/gesetze/WoBindG/27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