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WoBindG — Bergarbeiterwohnungen</w:t>
      </w:r>
    </w:p>
    <w:p>
      <w:r>
        <w:rPr>
          <w:color w:val="555555"/>
          <w:sz w:val="18"/>
        </w:rPr>
        <w:t xml:space="preserve">Wohnungsbindungsgesetz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in § 2 Abs. 2 Nr. 2 des Wohnraumförderung-Überleitungsgesetzes bezeichneten Wohnungen sind die Vorschriften dieses Gesetzes nach Maßgabe der Absätze 2 bis 4 anzuwenden.</w:t>
      </w:r>
    </w:p>
    <w:p>
      <w:r>
        <w:t xml:space="preserve">(2) An die Stelle der Wohnberechtigung im öffentlich geförderten sozialen Wohnungsbau im Sinne des § 5 dieses Gesetzes in Verbindung mit § 27 Abs. 2 und 3 des Wohnraumförderungsgesetzes tritt die Wohnberechtigung nach § 4 Abs. 1 Buchstabe a, b oder c des Gesetzes zur Förderung des Bergarbeiterwohnungsbaus im Kohlenbergbau.</w:t>
      </w:r>
    </w:p>
    <w:p>
      <w:r>
        <w:t xml:space="preserve">(3) Der Verfügungsberechtigte darf eine Bergarbeiterwohnung einem Wohnungsberechtigten im Sinne des § 4 Abs. 1 Buchstabe d des Gesetzes zur Förderung des Bergarbeiterwohnungsbaus im Kohlenbergbau oder einem Nichtwohnungsberechtigten vermieten oder überlassen,</w:t>
      </w:r>
    </w:p>
    <w:p>
      <w:pPr>
        <w:ind w:left="420"/>
      </w:pPr>
      <w:r>
        <w:t xml:space="preserve">a) wenn die zuständige Stelle diesem eine Bescheinigung über die Wohnberechtigung im Kohlenbergbau unter den Voraussetzungen des § 6 Abs. 2 des Gesetzes zur Förderung des Bergarbeiterwohnungsbaus im Kohlenbergbau erteilt hat oder</w:t>
      </w:r>
    </w:p>
    <w:p>
      <w:pPr>
        <w:ind w:left="420"/>
      </w:pPr>
      <w:r>
        <w:t xml:space="preserve">b) wenn die zuständige Stelle eine Freistellung von der Zweckbindung der Bergarbeiterwohnung unter den Voraussetzungen des § 6 Abs. 3 oder 4 des Gesetzes zur Förderung des Bergarbeiterwohnungsbaus im Kohlenbergbau zugunsten von Wohnberechtigten im Sinne des Wohnungsbindungsgesetzes oder entsprechender landesrechtlicher Vorschriften ausgesprochen hat.</w:t>
      </w:r>
    </w:p>
    <w:p>
      <w:r>
        <w:t xml:space="preserve">(4) Ist bei den in § 5 Abs. 2 des Gesetzes zur Förderung des Bergarbeiterwohnungsbaus im Kohlenbergbau bezeichneten Wohnungen die Zweckbindung zugunsten von Wohnungsberechtigten im Kohlenbergbau beendet, so sind hinsichtlich der Zweckbindung die Vorschriften der §§ 4 bis 7 dieses Gesetzes oder entsprechende landesrechtliche Vorschriften anzuwenden; der Verfügungsberechtigte darf die Wohnung jedoch auch einem Wohnungsberechtigten im Sinne des § 4 Abs. 1 Buchstabe a bis c des Gesetzes zur Förderung des Bergarbeiterwohnungsbaus im Kohlenbergbau vermieten oder überlassen.</w:t>
      </w:r>
    </w:p>
    <w:p>
      <w:r>
        <w:rPr>
          <w:color w:val="555555"/>
          <w:sz w:val="17"/>
        </w:rPr>
        <w:t xml:space="preserve">Zitiervorschlag: § 22 WoBindG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https://recht.nulegal.eu/gesetze/WoBindG/22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