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18f WoBindG — Mieterhöhung</w:t>
      </w:r>
    </w:p>
    <w:p>
      <w:r>
        <w:rPr>
          <w:color w:val="555555"/>
          <w:sz w:val="18"/>
        </w:rPr>
        <w:t xml:space="preserve">Wohnungsbindungsgesetz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die Durchführung einer Mieterhöhung auf Grund der höheren Verzinsung oder der Herabsetzung der Zins- und Tilgungshilfen oder der Zuschüsse zur Deckung der laufenden Aufwendungen nach den §§ 18a bis 18e finden die Vorschriften des § 10 Abs. 1, 2 und 4 Anwendung. Soweit sich eine Mieterhöhung nur auf Grund der §§ 18a bis 18e ergibt, braucht der Vermieter jedoch abweichend von § 10 Abs. 1 der Erklärung eine Wirtschaftlichkeitsberechnung oder einen Auszug daraus oder eine Zusatzberechnung nicht beizufügen; er hat dem Mieter auf Verlangen Einsicht in die Mitteilung der darlehnsverwaltenden Stelle nach § 18b Abs. 3 und, soweit eine Wirtschaftlichkeitsberechnung aufzustellen ist, auch in diese zu gewähren.</w:t>
      </w:r>
    </w:p>
    <w:p>
      <w:r>
        <w:t xml:space="preserve">(2) Für Mieterhöhungen auf Grund der §§ 18a bis 18e ist eine vertragliche Vereinbarung, wonach eine höhere Miete für eine zurückliegende Zeit verlangt werden kann, unwirksam.</w:t>
      </w:r>
    </w:p>
    <w:p>
      <w:r>
        <w:rPr>
          <w:color w:val="555555"/>
          <w:sz w:val="17"/>
        </w:rPr>
        <w:t xml:space="preserve">Zitiervorschlag: § 18f WoBindG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https://recht.nulegal.eu/gesetze/WoBindG/18f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