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18e WoBindG — Entsprechende Anwendung für öffentliche Mittel im Bereich des Bergarbeiterwohnungsbaus</w:t>
      </w:r>
    </w:p>
    <w:p>
      <w:r>
        <w:rPr>
          <w:color w:val="555555"/>
          <w:sz w:val="18"/>
        </w:rPr>
        <w:t xml:space="preserve">Wohnungsbindungsgesetz</w:t>
      </w:r>
    </w:p>
    <w:p>
      <w:r>
        <w:rPr>
          <w:color w:val="555555"/>
          <w:sz w:val="18"/>
        </w:rPr>
        <w:t xml:space="preserve">Stand: 05.07.2020 (konsolidierte Textfassung, kein amtliches Inkrafttretensdatum)</w:t>
      </w:r>
    </w:p>
    <w:p>
      <w:r>
        <w:t xml:space="preserve">Die Vorschriften der §§ 18a bis 18d gelten entsprechend für öffentliche Baudarlehen und Zins- und Tilgungshilfen, die nach dem Gesetz zur Förderung des Bergarbeiterwohnungsbaus im Kohlenbergbau aus Mitteln des Treuhandvermögens des Bundes bewilligt worden sind. Die in § 18b Abs. 1 bezeichneten Aufgaben obliegen dem Bundesministerium des Innern, für Bau und Heimat im Benehmen mit den für das Wohnungs- und Siedlungswesen zuständigen obersten Landesbehörden. Das Bundesministerium des Innern, für Bau und Heimat wird ermächtigt, die Bestimmungen nach § 18a Abs. 1 bis 3 und 5 sowie nach § 18d durch Rechtsverordnung mit Zustimmung des Bundesrates zu treffen.</w:t>
      </w:r>
    </w:p>
    <w:p>
      <w:r>
        <w:rPr>
          <w:color w:val="555555"/>
          <w:sz w:val="17"/>
        </w:rPr>
        <w:t xml:space="preserve">Zitiervorschlag: § 18e WoBindG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https://recht.nulegal.eu/gesetze/WoBindG/18e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