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WoBindG — Ende der Eigenschaft "öffentlich gefördert" bei Zwangsversteigerung</w:t>
      </w:r>
    </w:p>
    <w:p>
      <w:r>
        <w:rPr>
          <w:color w:val="555555"/>
          <w:sz w:val="18"/>
        </w:rPr>
        <w:t xml:space="preserve">Wohnungsbindungsgesetz</w:t>
      </w:r>
    </w:p>
    <w:p>
      <w:r>
        <w:rPr>
          <w:color w:val="555555"/>
          <w:sz w:val="18"/>
        </w:rPr>
        <w:t xml:space="preserve">Stand: 10.06.2019 (konsolidierte Textfassung, kein amtliches Inkrafttretensdatum)</w:t>
      </w:r>
    </w:p>
    <w:p>
      <w:r>
        <w:t xml:space="preserve">(1) Bei einer Zwangsversteigerung des Grundstücks gelten die Wohnungen, für die öffentliche Mittel als Darlehen bewilligt worden sind, bis zum Ablauf des dritten Kalenderjahres nach dem Kalenderjahr, in dem der Zuschlag erteilt worden ist, als öffentlich gefördert, sofern die wegen der öffentlichen Mittel begründeten Grundpfandrechte mit dem Zuschlag erlöschen; abweichend hiervon gilt ein Eigenheim, eine Eigensiedlung oder eine eigengenutzte Eigentumswohnung im Sinne von § 16 Abs. 5 nur bis zum Zuschlag als öffentlich gefördert, sofern die wegen der öffentlichen Mittel begründeten Grundpfandrechte mit dem Zuschlag erlöschen. Sind die öffentlichen Mittel lediglich als Zuschüsse bewilligt worden, so gelten die Wohnungen bis zum Zuschlag als öffentlich gefördert. Soweit nach den Vorschriften des § 15 oder des § 16 die Wohnungen nur bis zu einem früheren Zeitpunkt als öffentlich gefördert gelten, ist dieser Zeitpunkt maßgebend.</w:t>
      </w:r>
    </w:p>
    <w:p>
      <w:r>
        <w:t xml:space="preserve">(2) Sind die wegen der öffentlichen Mittel begründeten Grundpfandrechte mit dem Zuschlag nicht erloschen, so gelten die Wohnungen bis zu dem sich aus § 15 oder § 16 ergebenden Zeitpunkt als öffentlich gefördert.</w:t>
      </w:r>
    </w:p>
    <w:p>
      <w:r>
        <w:rPr>
          <w:color w:val="555555"/>
          <w:sz w:val="17"/>
        </w:rPr>
        <w:t xml:space="preserve">Zitiervorschlag: § 17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