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WoBindG — Anwendungsbereich</w:t>
      </w:r>
    </w:p>
    <w:p>
      <w:r>
        <w:rPr>
          <w:color w:val="555555"/>
          <w:sz w:val="18"/>
        </w:rPr>
        <w:t xml:space="preserve">Wohnungsbindungsgesetz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50 des Wohnraumförderungsgesetzes für den in dessen Absatz 1 und nach Maßgabe des § 2 des Wohnraumförderung-Überleitungsgesetzes vom 5. September 2006 (BGBl. I S. 2098, 2100) für den in dessen Absatz 2 genannten Wohnraum, der öffentlich gefördert ist oder als öffentlich gefördert gilt.</w:t>
      </w:r>
    </w:p>
    <w:p>
      <w:r>
        <w:rPr>
          <w:color w:val="555555"/>
          <w:sz w:val="17"/>
        </w:rPr>
        <w:t xml:space="preserve">Zitiervorschlag: § 1 WoBindG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https://recht.nulegal.eu/gesetze/WoBindG/1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