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WoBerichtsG — Datenübermittlung; Veröffentlichung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in sich schlüssigen und nach einheitlichen Standards formatierten Datensätze zu den Erhebungs- und Hilfsmerkmalen nach den §§ 4 und 5 sind von den auskunftspflichtigen Stellen nach § 6 Absatz 1 innerhalb von 30 Arbeitstagen nach dem Stichtag an das Statistische Bundesamt zu übermitteln.</w:t>
      </w:r>
    </w:p>
    <w:p>
      <w:r>
        <w:t xml:space="preserve">(2) Das Statistische Bundesamt übermittelt</w:t>
      </w:r>
    </w:p>
    <w:p>
      <w:pPr>
        <w:ind w:left="420"/>
      </w:pPr>
      <w:r>
        <w:t xml:space="preserve">1. den statistischen Ämtern der Länder</w:t>
      </w:r>
    </w:p>
    <w:p>
      <w:pPr>
        <w:ind w:left="780"/>
      </w:pPr>
      <w:r>
        <w:t xml:space="preserve">a) Tabellen mit den Ergebnissen der Bundesstatistik für das jeweilige Land und</w:t>
      </w:r>
    </w:p>
    <w:p>
      <w:pPr>
        <w:ind w:left="780"/>
      </w:pPr>
      <w:r>
        <w:t xml:space="preserve">b) die Einzeldatensätze für Sonderaufbereitungen auf regionaler Ebene für das jeweilige Land,</w:t>
      </w:r>
    </w:p>
    <w:p>
      <w:pPr>
        <w:ind w:left="420"/>
      </w:pPr>
      <w:r>
        <w:t xml:space="preserve">2. dem in der Bundesregierung für die Berichterstattung über die Wohnungslosigkeit federführend zuständige Bundesministerium Tabellen mit den Ergebnissen der Bundesstatistik für den Bund und die Länder.</w:t>
      </w:r>
    </w:p>
    <w:p>
      <w:r>
        <w:t xml:space="preserve">(3) Das Statistische Bundesamt übermittelt für die Verwendung gegenüber den gesetzgebenden Körperschaften und für Zwecke der Planung, jedoch nicht für die Regelung von Einzelfällen, den fachlich zuständigen obersten Bundes- oder Landesbehörden Tabellen mit statistischen Ergebnissen, auch soweit Tabellenfelder nur einen einzigen Fall ausweisen.</w:t>
      </w:r>
    </w:p>
    <w:p>
      <w:r>
        <w:t xml:space="preserve">(4) Die Ergebnisse der Erhebung dürfen bis zur Ebene der Gemeinden sowie, im Falle der Stadtstaaten, bis zur Bezirks- oder Stadtteilebene veröffentlicht werden.</w:t>
      </w:r>
    </w:p>
    <w:p>
      <w:r>
        <w:rPr>
          <w:color w:val="555555"/>
          <w:sz w:val="17"/>
        </w:rPr>
        <w:t xml:space="preserve">Zitiervorschlag: § 7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