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WoBerichtsG — Begriffsbestimmung; Umfang der Erhebung</w:t>
      </w:r>
    </w:p>
    <w:p>
      <w:r>
        <w:rPr>
          <w:color w:val="555555"/>
          <w:sz w:val="18"/>
        </w:rPr>
        <w:t xml:space="preserve">Wohnungslosenberichterstattungsgesetz</w:t>
      </w:r>
    </w:p>
    <w:p>
      <w:r>
        <w:rPr>
          <w:color w:val="555555"/>
          <w:sz w:val="18"/>
        </w:rPr>
        <w:t xml:space="preserve">Stand: 05.04.2020 (konsolidierte Textfassung, kein amtliches Inkrafttretensdatum)</w:t>
      </w:r>
    </w:p>
    <w:p>
      <w:r>
        <w:t xml:space="preserve">(1) Wohnungslosigkeit besteht, wenn</w:t>
      </w:r>
    </w:p>
    <w:p>
      <w:pPr>
        <w:ind w:left="420"/>
      </w:pPr>
      <w:r>
        <w:t xml:space="preserve">1. die Nutzung einer Wohnung durch eine Person oder eine Mehrheit von Personen desselben Haushalts weder durch einen Mietvertrag oder einen Pachtvertrag noch durch ein dingliches Recht abgesichert ist oder</w:t>
      </w:r>
    </w:p>
    <w:p>
      <w:pPr>
        <w:ind w:left="420"/>
      </w:pPr>
      <w:r>
        <w:t xml:space="preserve">2. eine Wohnung einer Person oder einer Mehrheit von Personen desselben Haushalts aus sonstigen Gründen nicht zur Verfügung steht.</w:t>
      </w:r>
    </w:p>
    <w:p>
      <w:r>
        <w:t xml:space="preserve">(2) Für die Statistik werden Daten erhoben über Personen, denen aufgrund von Maßnahmen der Gemeinden und Gemeindeverbände oder mit Kostenerstattung durch andere Träger von Sozialleistungen zum Stichtag wegen Wohnungslosigkeit Räume zu Wohnzwecken überlassen oder Übernachtungsgelegenheiten zur Verfügung gestellt worden sind.</w:t>
      </w:r>
    </w:p>
    <w:p>
      <w:r>
        <w:rPr>
          <w:color w:val="555555"/>
          <w:sz w:val="17"/>
        </w:rPr>
        <w:t xml:space="preserve">Zitiervorschlag: § 3 WoBerichtsG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https://recht.nulegal.eu/gesetze/WoBerichtsG/3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