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WkKV (Bayern) — Kassenwesen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Krankenhäuser, die als Regie- oder Eigenbetrieb geführt werden, ist eine Sonderkasse einzurichten.</w:t>
      </w:r>
    </w:p>
    <w:p>
      <w:r>
        <w:t xml:space="preserve">(2) Der festgesetzte Höchstbetrag eines Kassenkredits für die Kassenführung eines Krankenhauses soll ein Sechstel der im Krankenhaus-Erfolgsplan vorgesehenen Erträge bei den Posten 1 bis 8, 22 bis 24 und 28 der Gewinn- und Verlustrechnung (Anlage 2 zur KHBV) nicht übersteigen.</w:t>
      </w:r>
    </w:p>
    <w:p>
      <w:r>
        <w:rPr>
          <w:color w:val="555555"/>
          <w:sz w:val="17"/>
        </w:rPr>
        <w:t xml:space="preserve">Zitiervorschlag: § 7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