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WkKV (Bayern) — Finanzplanung</w:t>
      </w:r>
    </w:p>
    <w:p>
      <w:r>
        <w:rPr>
          <w:color w:val="555555"/>
          <w:sz w:val="18"/>
        </w:rPr>
        <w:t xml:space="preserve">Verordnung über die Wirtschaftsführung der kommunalen Krankenhäuser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fünfjährige Krankenhaus-Finanzplan besteht aus:</w:t>
      </w:r>
    </w:p>
    <w:p>
      <w:r>
        <w:t xml:space="preserve">1. einer nach Jahren gegliederten Übersicht über die Entwicklung der Ausgaben und der Deckungsmittel des Krankenhaus-Vermögensplans entsprechend der für diesen vorgeschriebenen Ordnung und</w:t>
      </w:r>
    </w:p>
    <w:p>
      <w:r>
        <w:t xml:space="preserve">2. einer Übersicht über die Entwicklung der Jahresüberschüsse oder der Jahresfehlbeträge.</w:t>
      </w:r>
    </w:p>
    <w:p>
      <w:r>
        <w:rPr>
          <w:color w:val="555555"/>
          <w:sz w:val="17"/>
        </w:rPr>
        <w:t xml:space="preserve">Zitiervorschlag: § 6 WkKV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https://recht.nulegal.eu/gesetze/WkKV/6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