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WkKV (Bayern) — Krankenhaus-Vermögensplan</w:t>
      </w:r>
    </w:p>
    <w:p>
      <w:r>
        <w:rPr>
          <w:color w:val="555555"/>
          <w:sz w:val="18"/>
        </w:rPr>
        <w:t xml:space="preserve">Verordnung über die Wirtschaftsführung der kommunalen Krankenhäuser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Krankenhaus-Vermögensplan muss enthalten:</w:t>
      </w:r>
    </w:p>
    <w:p>
      <w:r>
        <w:t xml:space="preserve">1. alle voraussehbaren Ausgaben des Geschäftsjahres, die sich aus Änderungen des Anlagevermögens ergeben,</w:t>
      </w:r>
    </w:p>
    <w:p>
      <w:r>
        <w:t xml:space="preserve">2. die Tilgungsleistungen,</w:t>
      </w:r>
    </w:p>
    <w:p>
      <w:r>
        <w:t xml:space="preserve">3. Angaben über die Höhe des in diesem Geschäftsjahr zu deckenden Verlustes,</w:t>
      </w:r>
    </w:p>
    <w:p>
      <w:r>
        <w:t xml:space="preserve">4. die vorhandenen und zu beschaffenden Deckungsmittel,</w:t>
      </w:r>
    </w:p>
    <w:p>
      <w:r>
        <w:t xml:space="preserve">5. die notwendigen Verpflichtungsermächtigungen.</w:t>
      </w:r>
    </w:p>
    <w:p>
      <w:r>
        <w:t xml:space="preserve">(2) Die mit einer Änderung des Anlagevermögens verbundenen Ausgaben und die Verpflichtungsermächtigungen sind nach der Gliederung des Anlagennachweises (Anlage 3 zur KHBV) und nach Vorhaben getrennt zu veranschlagen. Wenn Verpflichtungsermächtigungen veranschlagt sind, ist eine Übersicht über die aus Verpflichtungsermächtigungen voraussichtlich fällig werdenden Ausgaben nach § 1 Abs. 3 Nr. 3 KommHV-Doppik bzw. § 2 Abs. 2 Nr. 2 KommHV-Kameralistik beizufügen.</w:t>
      </w:r>
    </w:p>
    <w:p>
      <w:r>
        <w:t xml:space="preserve">(3) Ausgaben für verschiedene Vorhaben sind nicht deckungsfähig. Ausgaben im Rahmen der Pauschalförderung nach Art. 12 Abs. 1 des Bayerischen Krankenhausgesetzes können für einseitig oder gegenseitig deckungsfähig erklärt werden.</w:t>
      </w:r>
    </w:p>
    <w:p>
      <w:r>
        <w:t xml:space="preserve">(4) Für die Ausgabenansätze und die entsprechenden Deckungsmittel im Vermögensplan gelten § 21 Abs. 1 KommHV-Doppik und § 19 Abs. 1 KommHV-Kameralistik entsprechend. Die Abwicklung der übertragenen Ansätze ist gesondert nachzuweisen.</w:t>
      </w:r>
    </w:p>
    <w:p>
      <w:r>
        <w:rPr>
          <w:color w:val="555555"/>
          <w:sz w:val="17"/>
        </w:rPr>
        <w:t xml:space="preserve">Zitiervorschlag: § 4 WkKV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https://recht.nulegal.eu/gesetze/WkKV/4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