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WissZeitVG — Wissenschaftliches Personal an Forschungseinrichtungen</w:t>
      </w:r>
    </w:p>
    <w:p>
      <w:r>
        <w:rPr>
          <w:color w:val="555555"/>
          <w:sz w:val="18"/>
        </w:rPr>
        <w:t xml:space="preserve">Wissenschaftszeitvertragsgesetz</w:t>
      </w:r>
    </w:p>
    <w:p>
      <w:r>
        <w:rPr>
          <w:color w:val="555555"/>
          <w:sz w:val="18"/>
        </w:rPr>
        <w:t xml:space="preserve">Stand: 10.06.2019 (konsolidierte Textfassung, kein amtliches Inkrafttretensdatum)</w:t>
      </w:r>
    </w:p>
    <w:p>
      <w:r>
        <w:t xml:space="preserve">Für den Abschluss befristeter Arbeitsverträge mit wissenschaftlichem Personal an staatlichen Forschungseinrichtungen sowie an überwiegend staatlich, an institutionell überwiegend staatlich oder auf der Grundlage von Artikel 91b des Grundgesetzes finanzierten Forschungseinrichtungen gelten die Vorschriften der §§ 1 bis 3 und 6 entsprechend.</w:t>
      </w:r>
    </w:p>
    <w:p>
      <w:r>
        <w:rPr>
          <w:color w:val="555555"/>
          <w:sz w:val="17"/>
        </w:rPr>
        <w:t xml:space="preserve">Zitiervorschlag: § 5 WissZeitVG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https://recht.nulegal.eu/gesetze/WissZeitVG/5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