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WissZeitVG — Wissenschaftliches Personal an staatlich anerkannten Hochschulen</w:t>
      </w:r>
    </w:p>
    <w:p>
      <w:r>
        <w:rPr>
          <w:color w:val="555555"/>
          <w:sz w:val="18"/>
        </w:rPr>
        <w:t xml:space="preserve">Wissenschaftszeitvertragsgesetz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Abschluss befristeter Arbeitsverträge mit wissenschaftlichem und künstlerischem Personal an nach Landesrecht staatlich anerkannten Hochschulen gelten die Vorschriften der §§ 1 bis 3 und 6 entsprechend.</w:t>
      </w:r>
    </w:p>
    <w:p>
      <w:r>
        <w:rPr>
          <w:color w:val="555555"/>
          <w:sz w:val="17"/>
        </w:rPr>
        <w:t xml:space="preserve">Zitiervorschlag: § 4 WissZeitVG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https://recht.nulegal.eu/gesetze/WissZeitVG/4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