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WissUV (Brandenburg) — Inkrafttreten, Außerkrafttreten</w:t>
      </w:r>
    </w:p>
    <w:p>
      <w:r>
        <w:rPr>
          <w:color w:val="555555"/>
          <w:sz w:val="18"/>
        </w:rPr>
        <w:t xml:space="preserve">Wissenschaftliche Untersuchungen 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Wissenschaftliche Untersuchungen Verordnung vom 11. Dezember 1997 (GVBl. 1998 II S. 118) außer Kraft.</w:t>
      </w:r>
    </w:p>
    <w:p>
      <w:r>
        <w:t xml:space="preserve">Einzelnorm</w:t>
      </w:r>
    </w:p>
    <w:p>
      <w:r>
        <w:t xml:space="preserve">Potsdam, den 15. Juni 2018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Britta Ernst</w:t>
      </w:r>
    </w:p>
    <w:p>
      <w:r>
        <w:rPr>
          <w:color w:val="555555"/>
          <w:sz w:val="17"/>
        </w:rPr>
        <w:t xml:space="preserve">Zitiervorschlag: § 8 WissUV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https://recht.nulegal.eu/gesetze/WissUV/8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