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WissUV (Brandenburg) — Antragsberechtigte</w:t>
      </w:r>
    </w:p>
    <w:p>
      <w:r>
        <w:rPr>
          <w:color w:val="555555"/>
          <w:sz w:val="18"/>
        </w:rPr>
        <w:t xml:space="preserve">Wissenschaftliche Untersuchungen 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Anträge auf Genehmigung einer wissenschaftlichen Untersuchung können gestellt werden von</w:t>
      </w:r>
    </w:p>
    <w:p>
      <w:r>
        <w:t xml:space="preserve">in- oder ausländischen Hochschulen, Fachhochschulen und anderen wissenschaftlichen Einrichtungen,</w:t>
      </w:r>
    </w:p>
    <w:p>
      <w:r>
        <w:t xml:space="preserve">Studierenden und Lehramtsanwärterinnen und Lehramtsanwärtern, wenn deren Untersuchungen im Rahmen von wissenschaftlichen Haus- und Prüfungsarbeiten erfolgen,</w:t>
      </w:r>
    </w:p>
    <w:p>
      <w:r>
        <w:t xml:space="preserve">Behörden und Einrichtungen der Bundesrepublik Deutschland, der Länder und Kommunen,</w:t>
      </w:r>
    </w:p>
    <w:p>
      <w:r>
        <w:t xml:space="preserve">in- oder ausländischen juristischen Personen, die nachgewiesen auf wissenschaftlicher Grundlage arbeiten und ein besonderes fachliches Interesse gemäß § 1 Absatz 1 Satz 2 begründen können,</w:t>
      </w:r>
    </w:p>
    <w:p>
      <w:r>
        <w:t xml:space="preserve">in- oder ausländischen natürlichen Personen, die aufgrund ihrer wissenschaftlichen Tätigkeit oder Funktion ein besonderes fachliches Interesse gemäß § 1 Absatz 1 Satz 2 begründen können.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WissUV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https://recht.nulegal.eu/gesetze/WissUV/2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