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WissFG — Inkrafttreten</w:t>
      </w:r>
    </w:p>
    <w:p>
      <w:r>
        <w:rPr>
          <w:color w:val="555555"/>
          <w:sz w:val="18"/>
        </w:rPr>
        <w:t xml:space="preserve">Wissenschaftsfreiheitsgesetz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8 WissFG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