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WissFG — Beteiligung an Unternehmen</w:t>
      </w:r>
    </w:p>
    <w:p>
      <w:r>
        <w:rPr>
          <w:color w:val="555555"/>
          <w:sz w:val="18"/>
        </w:rPr>
        <w:t xml:space="preserve">Wissenschaftsfreiheitsgesetz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wird unwiderleglich vermutet, dass das Bundesministerium der Finanzen die Einwilligung gemäß § 65 Absatz 3 Satz 2 der Bundeshaushaltsordnung erteilt hat, wenn dieses einem Antrag des zuständigen Bundesministeriums nicht innerhalb von vier Wochen nach Eingang des Antrages widerspricht. Wenn innerhalb dieser Frist Widerspruch nach Satz 1 eingelegt wird, ist über den Antrag innerhalb von drei Monaten nach Eingang der vollständigen Antragsunterlagen zu entscheiden, andernfalls wird unwiderleglich vermutet, dass das Bundesministerium der Finanzen die Einwilligung erteilt hat.</w:t>
      </w:r>
    </w:p>
    <w:p>
      <w:r>
        <w:rPr>
          <w:color w:val="555555"/>
          <w:sz w:val="17"/>
        </w:rPr>
        <w:t xml:space="preserve">Zitiervorschlag: § 5 WissFG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https://recht.nulegal.eu/gesetze/WissFG/5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