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§ 7 WismutAGAbkG</w:t>
      </w:r>
    </w:p>
    <w:p>
      <w:r>
        <w:rPr>
          <w:color w:val="555555"/>
          <w:sz w:val="18"/>
        </w:rPr>
        <w:t xml:space="preserve">Gesetz zu dem Abkommen vom 16. Mai 1991 zwischen der Regierung der Bundesrepublik Deutschland und der Regierung der Union der Sozialistischen Sowjetrepubliken über die Beendigung der Tätigkeit der Sowjetisch-Deutschen Aktiengesellschaft Wismut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Unverzüglich nach der Eintragung der Gesellschaft leiten die vorläufigen Geschäftsführer die für die Gründung einer Gesellschaft mit beschränkter Haftung im übrigen gesetzlich erforderlichen Maßnahmen ein.</w:t>
      </w:r>
    </w:p>
    <w:p>
      <w:r>
        <w:rPr>
          <w:color w:val="555555"/>
          <w:sz w:val="17"/>
        </w:rPr>
        <w:t xml:space="preserve">Zitiervorschlag: Art 2 § 7 WismutAGAbkG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https://recht.nulegal.eu/gesetze/WismutAGAbkG/2-7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§ 7 WismutAGAbkG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