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WinzerAusbV 1997 — Übergangsregelung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