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WinzAusbStEignV — Inkrafttreten, Außerkrafttreten</w:t>
      </w:r>
    </w:p>
    <w:p>
      <w:r>
        <w:rPr>
          <w:color w:val="555555"/>
          <w:sz w:val="18"/>
        </w:rPr>
        <w:t xml:space="preserve">Verordnung über die Eignung der Ausbildungsstätte für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WinzAusbStEignV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https://recht.nulegal.eu/gesetze/WinzAusbStEignV/3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