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WinterbeschV — Erstattung von Mehraufwendungen</w:t>
      </w:r>
    </w:p>
    <w:p>
      <w:r>
        <w:rPr>
          <w:color w:val="555555"/>
          <w:sz w:val="18"/>
        </w:rPr>
        <w:t xml:space="preserve">Winterbeschäftigungs-Verordnung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Pauschale nach § 356 Abs. 2 Satz 2 des Dritten Buches Sozialgesetzbuch wird in Höhe von 10 Prozent des Umlagesatzes nach § 3 erhoben, wenn dieser mindestens 1,5 Prozent beträgt. Ist der Umlageprozentsatz geringer, beträgt die Pauschale 15 Prozent.</w:t>
      </w:r>
    </w:p>
    <w:p>
      <w:r>
        <w:t xml:space="preserve">(2) Für die Erstattung der Mehraufwendungen an die Bundesagentur gelten die Vorschriften für den Einzug der Umlage entsprechend.</w:t>
      </w:r>
    </w:p>
    <w:p>
      <w:r>
        <w:rPr>
          <w:color w:val="555555"/>
          <w:sz w:val="17"/>
        </w:rPr>
        <w:t xml:space="preserve">Zitiervorschlag: § 8 WinterbeschV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https://recht.nulegal.eu/gesetze/WinterbeschV/8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