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WinterbeschV — Zahlung</w:t>
      </w:r>
    </w:p>
    <w:p>
      <w:r>
        <w:rPr>
          <w:color w:val="555555"/>
          <w:sz w:val="18"/>
        </w:rPr>
        <w:t xml:space="preserve">Winterbeschäftigungs-Verordnung</w:t>
      </w:r>
    </w:p>
    <w:p>
      <w:r>
        <w:rPr>
          <w:color w:val="555555"/>
          <w:sz w:val="18"/>
        </w:rPr>
        <w:t xml:space="preserve">Stand: 11.06.2021 (konsolidierte Textfassung, kein amtliches Inkrafttretensdatum)</w:t>
      </w:r>
    </w:p>
    <w:p>
      <w:r>
        <w:t xml:space="preserve">(1) Die Umlagebeträge sind am 15. des Monats fällig, der dem Monat folgt, für den das Arbeitsentgelt zu zahlen ist. Umlagebeträge sind rechtzeitig gezahlt, wenn sie bis zu dem genannten Zeitpunkt bei den Einzugsstellen eingegangen sind.</w:t>
      </w:r>
    </w:p>
    <w:p>
      <w:r>
        <w:t xml:space="preserve">(2) Die Einzugsstellen führen die eingezogene Umlage bis zum 20. des Monats oder entsprechend dem zwischen ihnen und der Bundesagentur vereinbarten vereinfachten Abrechnungsverfahren an die Bundesagentur ab.</w:t>
      </w:r>
    </w:p>
    <w:p>
      <w:r>
        <w:t xml:space="preserve">(3) In Betrieben nach § 1 Absatz 1 Nummer 1</w:t>
      </w:r>
    </w:p>
    <w:p>
      <w:pPr>
        <w:ind w:left="420"/>
      </w:pPr>
      <w:r>
        <w:t xml:space="preserve">1. tritt an die Stelle der in Absatz 1 genannten Fälligkeit der 28. des Monats, der dem Monat folgt, für den das Arbeitsentgelt zu zahlen ist;</w:t>
      </w:r>
    </w:p>
    <w:p>
      <w:pPr>
        <w:ind w:left="420"/>
      </w:pPr>
      <w:r>
        <w:t xml:space="preserve">2. können Umlagebeträge in Abrechnungsintervallen bis zu längstens sechs Monaten gezahlt werden, wenn von dem umlagepflichtigen Arbeitgeber im Rahmen der Beitragsentrichtung zu den Einzugsstellen längere Abrechnungsintervalle in Anspruch genommen werden; in diesen Fällen tritt an die Stelle der in Nummer 1 genannten Fälligkeit der Zahlung die für die Beitragsentrichtung zu den Einzugsstellen sich ergebende Fälligkeit; können längere Abrechnungsintervalle vom Arbeitgeber gegenüber den Einzugsstellen nicht mehr in Anspruch genommen werden, gilt wieder die Fälligkeit nach Nummer 1.</w:t>
      </w:r>
    </w:p>
    <w:p>
      <w:r>
        <w:t xml:space="preserve">(4) Arbeitgebern des Baugewerbes werden entrichtete Umlagebeträge, die auf Zeiten einer Beschäftigung von gewerblichen Arbeitnehmern auf Baustellen außerhalb des Geltungsbereiches des Dritten Buches Sozialgesetzbuch entfallen, auf Antrag für jeweils ein Kalenderjahr erstattet. Der Antrag ist innerhalb einer Ausschlussfrist von drei Kalendermonaten zu stellen; die Frist beginnt mit Ablauf des Kalenderjahres, in dem die Zeiten nach Satz 1 liegen. Ein zu erstattender Arbeitnehmeranteil steht dem Arbeitnehmer zu.</w:t>
      </w:r>
    </w:p>
    <w:p>
      <w:r>
        <w:t xml:space="preserve">(5) Im Übrigen gelten die Vorschriften des Dritten und des Vierten Buches Sozialgesetzbuch über das Entstehen und die Fälligkeit der Beitragsansprüche, die Erhebung von Säumniszuschlägen, die Verjährung von Beitragsansprüchen, die Beitragserstattung, die Erhebung der Einnahmen, den Beitragsnachweis und die Berechnung und Zahlung des Gesamtsozialversicherungsbeitrags entsprechend, soweit diese auf die Beiträge zur Arbeitsförderung anzuwenden sind und die Besonderheiten der Umlage nicht entgegenstehen.</w:t>
      </w:r>
    </w:p>
    <w:p>
      <w:r>
        <w:rPr>
          <w:color w:val="555555"/>
          <w:sz w:val="17"/>
        </w:rPr>
        <w:t xml:space="preserve">Zitiervorschlag: § 5 WinterbeschV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https://recht.nulegal.eu/gesetze/WinterbeschV/5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