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WinterbeschV — Befristete Absenkung des Umlagesatzes im Baugewerbe</w:t>
      </w:r>
    </w:p>
    <w:p>
      <w:r>
        <w:rPr>
          <w:color w:val="555555"/>
          <w:sz w:val="18"/>
        </w:rPr>
        <w:t xml:space="preserve">Winterbeschäftigungs-Verordnung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In der Zeit vom 1. Januar 2026 bis zum 31. Dezember 2026 beträgt der Umlagesatz nach § 3 Absatz 1 Nummer 1 1 Prozent.</w:t>
      </w:r>
    </w:p>
    <w:p>
      <w:r>
        <w:t xml:space="preserve">(2) In der Zeit vom 1. Januar 2026 bis zum 31. Dezember 2026 wird die Umlage nach § 3 Absatz 2 Nummer 1 anteilig durch die Arbeitgeber in Höhe von 0,6 Prozent und durch die Arbeitnehmer in Höhe von 0,4 Prozent aufgebracht.</w:t>
      </w:r>
    </w:p>
    <w:p>
      <w:r>
        <w:rPr>
          <w:color w:val="555555"/>
          <w:sz w:val="17"/>
        </w:rPr>
        <w:t xml:space="preserve">Zitiervorschlag: § 3a WinterbeschV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https://recht.nulegal.eu/gesetze/WinterbeschV/3a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