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WindSeeV 4</w:t>
      </w:r>
    </w:p>
    <w:p>
      <w:r>
        <w:rPr>
          <w:color w:val="555555"/>
          <w:sz w:val="18"/>
        </w:rPr>
        <w:t xml:space="preserve">Vierte Windenergie-auf-See-Verordnung</w:t>
      </w:r>
    </w:p>
    <w:p>
      <w:r>
        <w:rPr>
          <w:color w:val="555555"/>
          <w:sz w:val="18"/>
        </w:rPr>
        <w:t xml:space="preserve">Stand: 23.02.2024 (konsolidierte Textfassung, kein amtliches Inkrafttretensdatum)</w:t>
      </w:r>
    </w:p>
    <w:p>
      <w:r>
        <w:t xml:space="preserve">Auf Grund des § 15 Absatz 1 der Erneuerbare-Energien-Verordnung vom 17. Februar 2015 (BGBl. I S. 146), der zuletzt durch Artikel 2 der Verordnung vom 2. Februar 2024 (BGBl. 2024 I Nr. 34) neu gefasst worden ist, in Verbindung mit § 12 Absatz 5 Satz 5 Nummer 1 in Verbindung mit Satz 1 bis 4 und 8 des Windenergie-auf-See-Gesetzes vom 13. Oktober 2016 (BGBl. I S. 2258, 2310), von denen § 12 Absatz 5 Satz 2 durch Artikel 1 Nummer 17 Buchstabe e Doppelbuchstabe bb des Gesetzes vom 20. Juli 2022 (BGBl. I S. 1325) eingefügt und § 12 Absatz 5 Satz 1, 3, 4, 5 Nummer 1 und Satz 8 durch Artikel 1 Nummer 17 Buchstabe e Doppelbuchstabe aa, bb, cc und dd des Gesetzes vom 20. Juli 2022 (BGBl. I S. 1325) geändert worden sind, verordnet das Bundesamt für Seeschifffahrt und Hydrographie:</w:t>
      </w:r>
    </w:p>
    <w:p>
      <w:r>
        <w:rPr>
          <w:color w:val="555555"/>
          <w:sz w:val="17"/>
        </w:rPr>
        <w:t xml:space="preserve">Zitiervorschlag: Eingangsformel WindSeeV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