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WindSeeV 4 — Ausschlusszonen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(1) Um das Schiffswrack mit dem Wrackmittelpunkt 54°24,3767'N, 005°37,1008'E WGS84 ist eine Ausschlusszone mit einem Radius von 100 Metern um den Wrackmittelpunkt einzuhalten.</w:t>
      </w:r>
    </w:p>
    <w:p>
      <w:r>
        <w:t xml:space="preserve">(2) Um das Schiffswrack mit dem Wrackmittelpunkt 54°27,7722'N, 005°40,4030'E WGS84 ist eine Ausschlusszone mit einem Radius von 90 Metern um den Wrackmittelpunkt einzuhalten.</w:t>
      </w:r>
    </w:p>
    <w:p>
      <w:r>
        <w:t xml:space="preserve">(3) Um das Schiffswrack mit dem Wrackmittelpunkt 54°31.6334'N, 005°47.3732'E WGS84 und das dazugehörige Trümmerfeld ist eine Ausschlusszone mit einem Radius von 90 Metern um die Schwerpunktkoordinate 54°31.6523'N, 005°47.3679'E WGS84 einzuhalten.</w:t>
      </w:r>
    </w:p>
    <w:p>
      <w:r>
        <w:rPr>
          <w:color w:val="555555"/>
          <w:sz w:val="17"/>
        </w:rPr>
        <w:t xml:space="preserve">Zitiervorschlag: § 4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