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WindSeeV 3 — Verlegung und Dimensionierung von parkinternen Seekabelsystemen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(1) Der Träger des Vorhabens hat bei der Dimensionierung und Verlegung der parkinternen Seekabelsysteme den Planungsgrundsatz des Flächenentwicklungsplans zur Sedimenterwärmung zu beachten.</w:t>
      </w:r>
    </w:p>
    <w:p>
      <w:r>
        <w:t xml:space="preserve">(2) Das Verfahren zur Verlegung der parkinternen Seekabelsysteme ist so zu wählen, dass die Überdeckung, die zur Einhaltung der höchstzulässigen Sedimenterwärmung nach Absatz 1 erforderlich ist, und die Tiefenlage und Überdeckung nach § 23 Absatz 1 sichergestellt und mit möglichst geringen Umweltauswirkungen erreicht werden.</w:t>
      </w:r>
    </w:p>
    <w:p>
      <w:r>
        <w:rPr>
          <w:color w:val="555555"/>
          <w:sz w:val="17"/>
        </w:rPr>
        <w:t xml:space="preserve">Zitiervorschlag: § 5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