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WindSeeV 3 — Besondere Bestimmungen zur Vereinbarkeit mit Kulturgütern</w:t>
      </w:r>
    </w:p>
    <w:p>
      <w:r>
        <w:rPr>
          <w:color w:val="555555"/>
          <w:sz w:val="18"/>
        </w:rPr>
        <w:t xml:space="preserve">Dritte Windenergie-auf-See-Verordnung</w:t>
      </w:r>
    </w:p>
    <w:p>
      <w:r>
        <w:rPr>
          <w:color w:val="555555"/>
          <w:sz w:val="18"/>
        </w:rPr>
        <w:t xml:space="preserve">Stand: 12.01.2023 (konsolidierte Textfassung, kein amtliches Inkrafttretensdatum)</w:t>
      </w:r>
    </w:p>
    <w:p>
      <w:r>
        <w:t xml:space="preserve">Um das Schiffswrack mit dem Wrackmittelpunkt 54° 16.4164´ N; 006° 02.0680´ E WGS84 ist eine Ausschlusszone mit einem Radius von 42 Metern um den Wrackmittelpunkt einzuhalten.</w:t>
      </w:r>
    </w:p>
    <w:p>
      <w:r>
        <w:rPr>
          <w:color w:val="555555"/>
          <w:sz w:val="17"/>
        </w:rPr>
        <w:t xml:space="preserve">Zitiervorschlag: § 36 WindSeeV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https://recht.nulegal.eu/gesetze/WindSeeV%203/36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