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WindSeeV 3 — Ermittlung, Dokumentation und Meldung von Objekten und errichteten Anlagen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vor Beginn der Planung und Realisierung der Anlagen vorhandene Kabel, Leitungen, Wracks, Fundmunition, Kulturgüter und Sachgüter sowie sonstige Objekte auf der Fläche zu ermitteln und alle aus den Ermittlungsergebnissen resultierenden Schutzmaßnahmen zu ergreifen. Das Auffinden von Objekten ist unverzüglich zu dokumentieren und dem Bundesamt für Seeschifffahrt und Hydrographie zu melden. Bei der Standort- und Trassenwahl sind etwaige Fundstellen von Objekten zu berücksichtigen.</w:t>
      </w:r>
    </w:p>
    <w:p>
      <w:r>
        <w:t xml:space="preserve">(2) Wird bei der Planung oder Realisierung der Anlagen Fundmunition aufgefunden, hat der Träger des Vorhabens Schutzmaßnahmen zu ergreifen. In diesem Rahmen ist der Träger des Vorhabens auch für erforderliche Bergungen oder Beseitigungen von Fundmunition verantwortlich. Sprengungen sind unzulässig, sofern sie nicht zur Beseitigung nicht transportfähiger Munition unvermeidlich sind. In diesem Fall hat der Träger des Vorhabens dem Bundesamt für Seeschifffahrt und Hydrographie rechtzeitig im Voraus ein Schallschutzkonzept vorzulegen. Munitionsfunde und den weiteren Umgang mit der Fundmunition hat der Träger des Vorhabens dem Maritimen Sicherheitszentrum Cuxhaven zu melden.</w:t>
      </w:r>
    </w:p>
    <w:p>
      <w:r>
        <w:t xml:space="preserve">(3) Der Träger des Vorhabens hat dem Bundesamt für Seeschifffahrt und Hydrographie auf dessen Anforderung als Grundlage für die Zulassungsentscheidung mit den Planunterlagen eine Auswertung der in der Voruntersuchung gewonnenen Daten über Verdachtsfälle von Kulturgütern in der jeweiligen Fläche einzureichen.</w:t>
      </w:r>
    </w:p>
    <w:p>
      <w:r>
        <w:t xml:space="preserve">(4) Der Träger des Vorhabens hat die genauen Positionen aller tatsächlich gebauten Anlagen innerhalb von sechs Monaten nach Abschluss der Errichtung einzumessen und an das Bundesamt für Seeschifffahrt und Hydrographie zu übermitteln.</w:t>
      </w:r>
    </w:p>
    <w:p>
      <w:r>
        <w:rPr>
          <w:color w:val="555555"/>
          <w:sz w:val="17"/>
        </w:rPr>
        <w:t xml:space="preserve">Zitiervorschlag: § 35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