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WindSeeV 3 — Sonstige Pflichten</w:t>
      </w:r>
    </w:p>
    <w:p>
      <w:r>
        <w:rPr>
          <w:color w:val="555555"/>
          <w:sz w:val="18"/>
        </w:rPr>
        <w:t xml:space="preserve">Dritte Windenergie-auf-See-Verordnung</w:t>
      </w:r>
    </w:p>
    <w:p>
      <w:r>
        <w:rPr>
          <w:color w:val="555555"/>
          <w:sz w:val="18"/>
        </w:rPr>
        <w:t xml:space="preserve">Stand: 12.01.2023 (konsolidierte Textfassung, kein amtliches Inkrafttretensdatum)</w:t>
      </w:r>
    </w:p>
    <w:p>
      <w:r>
        <w:t xml:space="preserve">Die Pflichten des Trägers des Vorhabens zur Gewährleistung der Sicherheit und des Gesundheitsschutzes bei der Arbeit in seiner Eigenschaft als Arbeitgeber bleiben unberührt.</w:t>
      </w:r>
    </w:p>
    <w:p>
      <w:r>
        <w:rPr>
          <w:color w:val="555555"/>
          <w:sz w:val="17"/>
        </w:rPr>
        <w:t xml:space="preserve">Zitiervorschlag: § 31 WindSeeV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https://recht.nulegal.eu/gesetze/WindSeeV%203/31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