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WindSeeV 3 — Feststellung der Eignung und der Erforderlichkeit der Realisierung von Windenergieanlagen auf See</w:t>
      </w:r>
    </w:p>
    <w:p>
      <w:r>
        <w:rPr>
          <w:color w:val="555555"/>
          <w:sz w:val="18"/>
        </w:rPr>
        <w:t xml:space="preserve">Dritte Windenergie-auf-See-Verordnung</w:t>
      </w:r>
    </w:p>
    <w:p>
      <w:r>
        <w:rPr>
          <w:color w:val="555555"/>
          <w:sz w:val="18"/>
        </w:rPr>
        <w:t xml:space="preserve">Stand: 12.01.2023 (konsolidierte Textfassung, kein amtliches Inkrafttretensdatum)</w:t>
      </w:r>
    </w:p>
    <w:p>
      <w:r>
        <w:t xml:space="preserve">(1) Die im Flächenentwicklungsplan vom 18. Dezember 2020 festgelegten Flächen N-6.6 und N-6.7 in der deutschen ausschließlichen Wirtschaftszone der Nordsee sind nach dem Ergebnis der Voruntersuchung dieser Flächen nach Teil 2 Abschnitt 2 des Windenergie-auf-See-Gesetzes zur Ausschreibung für voruntersuchte Flächen nach Teil 3 Abschnitt 5 des Windenergie-auf-See-Gesetzes geeignet.</w:t>
      </w:r>
    </w:p>
    <w:p>
      <w:r>
        <w:t xml:space="preserve">(2) Die Realisierung von Windenergieanlagen auf See auf den Flächen N-6.6 und N-6.7 ist entsprechend § 1 Absatz 3 des Windenergie-auf-See-Gesetzes aus Gründen eines überragenden öffentlichen Interesses und im Interesse der öffentlichen Sicherheit erforderlich.</w:t>
      </w:r>
    </w:p>
    <w:p>
      <w:r>
        <w:rPr>
          <w:color w:val="555555"/>
          <w:sz w:val="17"/>
        </w:rPr>
        <w:t xml:space="preserve">Zitiervorschlag: § 3 WindSeeV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https://recht.nulegal.eu/gesetze/WindSeeV%203/3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