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WindSeeV 3 — Hubschrauberlandedeck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Wenn ein Hubschrauberlandedeck auf einer Offshore-Plattform des Offshore-Windparks eingerichtet wird, sind für dessen Einrichtung und Betrieb die Regelungen des „Standard Offshore-Luftfahrt für die deutsche ausschließliche Wirtschaftszone“[18] einzuhalten.</w:t>
      </w:r>
    </w:p>
    <w:p>
      <w:r>
        <w:t xml:space="preserve">18 Amtlicher Hinweis: Herausgegeben vom und zu beziehen beim Bundesministerium für Digitales und Verkehr, Robert-Schuman-Platz 1, 53175 Bonn.</w:t>
      </w:r>
    </w:p>
    <w:p>
      <w:r>
        <w:rPr>
          <w:color w:val="555555"/>
          <w:sz w:val="17"/>
        </w:rPr>
        <w:t xml:space="preserve">Zitiervorschlag: § 25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