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WindSeeV 3 — Hubschrauberwindenbetrieb und Windenbetriebsflächen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(1) Auf einer Windenergieanlage ist die Windenbetriebsfläche durch den Träger des Vorhabens nach dem „Standard Offshore-Luftfahrt für die deutsche ausschließliche Wirtschaftszone“[16] auszugestalten, zu kennzeichnen und zu betreiben.</w:t>
      </w:r>
    </w:p>
    <w:p>
      <w:r>
        <w:t xml:space="preserve">(2) Eine Windenbetriebsfläche als Rettungsfläche einer Offshore-Plattform ist durch den Träger des Vorhabens nach dem „Standard Offshore-Luftfahrt für die deutsche ausschließliche Wirtschaftszone“[17] auszugestalten, zu kennzeichnen und zu nutzen.</w:t>
      </w:r>
    </w:p>
    <w:p>
      <w:r>
        <w:t xml:space="preserve">16 Amtlicher Hinweis: Herausgegeben vom und zu beziehen beim Bundesministerium für Digitales und Verkehr, Robert-Schuman-Platz 1, 53175 Bonn.</w:t>
      </w:r>
    </w:p>
    <w:p>
      <w:r>
        <w:t xml:space="preserve">17 Amtlicher Hinweis: Herausgegeben vom und zu beziehen beim Bundesministerium für Digitales und Verkehr, Robert-Schuman-Platz 1, 53175 Bonn.</w:t>
      </w:r>
    </w:p>
    <w:p>
      <w:r>
        <w:rPr>
          <w:color w:val="555555"/>
          <w:sz w:val="17"/>
        </w:rPr>
        <w:t xml:space="preserve">Zitiervorschlag: § 24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