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WindSeeV 3 — Anforderungen an Fahrzeuge und Arbeitsgeräte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Alle eingesetzten Arbeitsgeräte und Fahrzeuge einschließlich des Verkehrssicherungsfahrzeugs müssen</w:t>
      </w:r>
    </w:p>
    <w:p>
      <w:pPr>
        <w:ind w:left="420"/>
      </w:pPr>
      <w:r>
        <w:t xml:space="preserve">1. in Bezug auf ihre Kennzeichnung und ihr Verkehrsverhalten der Verordnung zu den Internationalen Regeln von 1972 zur Verhütung von Zusammenstößen auf See vom 13. Juni 1977 (BGBl. I S. 813), die zuletzt durch Artikel 1 der Verordnung vom 7. Dezember 2021 (BGBl. I S. 5188) geändert worden ist, entsprechen,</w:t>
      </w:r>
    </w:p>
    <w:p>
      <w:pPr>
        <w:ind w:left="420"/>
      </w:pPr>
      <w:r>
        <w:t xml:space="preserve">2. in Bezug auf Ausrüstung und Besatzung dem für die Bundesflagge erforderlichen oder einem nachweislich gleichen Sicherheitsstandard genügen.</w:t>
      </w:r>
    </w:p>
    <w:p>
      <w:r>
        <w:rPr>
          <w:color w:val="555555"/>
          <w:sz w:val="17"/>
        </w:rPr>
        <w:t xml:space="preserve">Zitiervorschlag: § 21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