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WindSeeV 3 — Bauweise</w:t>
      </w:r>
    </w:p>
    <w:p>
      <w:r>
        <w:rPr>
          <w:color w:val="555555"/>
          <w:sz w:val="18"/>
        </w:rPr>
        <w:t xml:space="preserve">Dritte Windenergie-auf-See-Verordnung</w:t>
      </w:r>
    </w:p>
    <w:p>
      <w:r>
        <w:rPr>
          <w:color w:val="555555"/>
          <w:sz w:val="18"/>
        </w:rPr>
        <w:t xml:space="preserve">Stand: 12.01.2023 (konsolidierte Textfassung, kein amtliches Inkrafttretensdatum)</w:t>
      </w:r>
    </w:p>
    <w:p>
      <w:r>
        <w:t xml:space="preserve">(1) Der Träger des Vorhabens hat die Anlagen nach dem Stand der Technik in einer Weise zu konstruieren und zu errichten, dass im Fall einer Schiffskollision der Schiffskörper so wenig wie möglich beschädigt wird. Die Einhaltung des Stands der Technik wird vermutet, wenn die Anforderungen des „Standard Konstruktion – Mindestanforderungen an die konstruktive Ausführung von Offshore-Bauwerken in der ausschließlichen Wirtschaftszone (AWZ)“[12] erfüllt werden.</w:t>
      </w:r>
    </w:p>
    <w:p>
      <w:r>
        <w:t xml:space="preserve">(2) Die Bebauung der Fläche soll zusammenhängend erfolgen. Die zu errichtenden Anlagen sollen sich in die Bebauungssituation des Gebiets, in dem die Fläche liegt, integrieren.</w:t>
      </w:r>
    </w:p>
    <w:p>
      <w:r>
        <w:t xml:space="preserve">12 Amtlicher Hinweis: Herausgegeben vom und zu beziehen beim Bundesamt für Seeschifffahrt und Hydrographie, Bernhard-Nocht-Straße 78, 20359 Hamburg und in der Deutschen Nationalbibliothek archivmäßig gesichert niedergelegt.</w:t>
      </w:r>
    </w:p>
    <w:p>
      <w:r>
        <w:rPr>
          <w:color w:val="555555"/>
          <w:sz w:val="17"/>
        </w:rPr>
        <w:t xml:space="preserve">Zitiervorschlag: § 19 WindSeeV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https://recht.nulegal.eu/gesetze/WindSeeV%203/19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