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WindSeeV 3 — Seeraumbeobachtung</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Der Träger des Vorhabens hat eine Seeraumbeobachtung für die Fläche nach dem Stand der Technik durchzuführen und die erforderlichen Maßnahmen zur Vermeidung von Kollisionen zu ergreifen. Die Einhaltung des Stands der Technik wird vermutet, wenn die Vorgaben der Durchführungsrichtlinie „Seeraumbeobachtung Offshore-Windparks“ des Bundesministeriums für Verkehr und digitale Infrastruktur[11] eingehalten werden.</w:t>
      </w:r>
    </w:p>
    <w:p>
      <w:r>
        <w:t xml:space="preserve">11 Amtlicher Hinweis: Herausgegeben vom und zu beziehen beim Bundesministerium für Digitales und Verkehr, Invalidenstraße 44, 10115 Berlin.</w:t>
      </w:r>
    </w:p>
    <w:p>
      <w:r>
        <w:rPr>
          <w:color w:val="555555"/>
          <w:sz w:val="17"/>
        </w:rPr>
        <w:t xml:space="preserve">Zitiervorschlag: § 18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