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WindSeeV 2</w:t>
      </w:r>
    </w:p>
    <w:p>
      <w:r>
        <w:rPr>
          <w:color w:val="555555"/>
          <w:sz w:val="18"/>
        </w:rPr>
        <w:t xml:space="preserve">Zweite Windenergie-auf-See-Verordnung</w:t>
      </w:r>
    </w:p>
    <w:p>
      <w:r>
        <w:rPr>
          <w:color w:val="555555"/>
          <w:sz w:val="18"/>
        </w:rPr>
        <w:t xml:space="preserve">Stand: 28.01.2022 (konsolidierte Textfassung, kein amtliches Inkrafttretensdatum)</w:t>
      </w:r>
    </w:p>
    <w:p>
      <w:r>
        <w:t xml:space="preserve">Das Bundesamt für Seeschifffahrt und Hydrographie verordnet auf Grund des § 15 der Erneuerbare-Energien-Verordnung vom 17. Februar 2015 (BGBl. I S. 146), der durch Artikel 3 Nummer 2 des Gesetzes vom 25. Mai 2020 (BGBl. I S. 1070) eingefügt worden ist, in Verbindung mit § 11 Absatz 2 des Windenergie-auf-See-Gesetzes vom 13. Oktober 2016 (BGBl. I S. 2258, 2310) im Einvernehmen mit der Generaldirektion Wasserstraßen und Schifffahrt:</w:t>
      </w:r>
    </w:p>
    <w:p>
      <w:r>
        <w:rPr>
          <w:color w:val="555555"/>
          <w:sz w:val="17"/>
        </w:rPr>
        <w:t xml:space="preserve">Zitiervorschlag: Eingangsformel WindSeeV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https://recht.nulegal.eu/gesetze/WindSeeV%202/eingangsformel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