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WindSeeV 2 — Vermeidung oder Verminderung von Emissionen</w:t>
      </w:r>
    </w:p>
    <w:p>
      <w:r>
        <w:rPr>
          <w:color w:val="555555"/>
          <w:sz w:val="18"/>
        </w:rPr>
        <w:t xml:space="preserve">Zweite Windenergie-auf-See-Verordnung</w:t>
      </w:r>
    </w:p>
    <w:p>
      <w:r>
        <w:rPr>
          <w:color w:val="555555"/>
          <w:sz w:val="18"/>
        </w:rPr>
        <w:t xml:space="preserve">Stand: 28.01.2022 (konsolidierte Textfassung, kein amtliches Inkrafttretensdatum)</w:t>
      </w:r>
    </w:p>
    <w:p>
      <w:r>
        <w:t xml:space="preserve">(1) Der Träger des Vorhabens hat Emissionen zu vermeiden oder, soweit sie unvermeidlich sind, zu vermindern.</w:t>
      </w:r>
    </w:p>
    <w:p>
      <w:r>
        <w:t xml:space="preserve">(2) Hierfür hat der Träger des Vorhabens insbesondere</w:t>
      </w:r>
    </w:p>
    <w:p>
      <w:pPr>
        <w:ind w:left="420"/>
      </w:pPr>
      <w:r>
        <w:t xml:space="preserve">1. die Anlagen in einer Weise zu planen und umzusetzen, dass weder bei der Errichtung noch bei dem Betrieb nach dem Stand der Technik vermeidbare Emissionen verursacht werden oder, soweit die Verursachung von Emissionen durch die zur Erfüllung der Sicherheitsanforderungen des Schiffs- und Luftverkehrs zwingend gebotenen Handlungen unvermeidlich ist, möglichst geringe Beeinträchtigungen der Meeresumwelt hervorgerufen werden,</w:t>
      </w:r>
    </w:p>
    <w:p>
      <w:pPr>
        <w:ind w:left="420"/>
      </w:pPr>
      <w:r>
        <w:t xml:space="preserve">2. zum Betrieb der Anlage möglichst umweltverträgliche Betriebsstoffe einzusetzen und biologisch abbaubare Betriebsstoffe, soweit verfügbar, zu bevorzugen,</w:t>
      </w:r>
    </w:p>
    <w:p>
      <w:pPr>
        <w:ind w:left="420"/>
      </w:pPr>
      <w:r>
        <w:t xml:space="preserve">3. sämtliche auf der Anlage eingesetzten technischen Installationen durch bauliche Sicherheitssysteme und -maßnahmen nach dem Stand der Technik so abzusichern und so zu überwachen, dass Schadstoffunfälle und Umwelteinträge vermieden werden und dass im Schadensfall sichergestellt ist, dass der Träger des Vorhabens jederzeit unmittelbar eingreifen kann, sowie</w:t>
      </w:r>
    </w:p>
    <w:p>
      <w:pPr>
        <w:ind w:left="420"/>
      </w:pPr>
      <w:r>
        <w:t xml:space="preserve">4. für Betriebsstoffwechsel und Betankungsmaßnahmen organisatorische und technische Vorsichtsmaßnahmen zu treffen, um Schadstoffunfälle und Umwelteinträge zu vermeiden.</w:t>
      </w:r>
    </w:p>
    <w:p>
      <w:r>
        <w:rPr>
          <w:color w:val="555555"/>
          <w:sz w:val="17"/>
        </w:rPr>
        <w:t xml:space="preserve">Zitiervorschlag: § 6 WindSeeV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https://recht.nulegal.eu/gesetze/WindSeeV%202/6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