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WindSeeV 2 — Verlegung und Dimensionierung von parkinternen Seekabelsystemen</w:t>
      </w:r>
    </w:p>
    <w:p>
      <w:r>
        <w:rPr>
          <w:color w:val="555555"/>
          <w:sz w:val="18"/>
        </w:rPr>
        <w:t xml:space="preserve">Zweite Windenergie-auf-See-Verordnung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(1) Der Träger des Vorhabens hat bei der Dimensionierung und Verlegung der parkinternen Seekabelsysteme den Planungsgrundsatz des Flächenentwicklungsplans zur Sedimenterwärmung zu beachten.</w:t>
      </w:r>
    </w:p>
    <w:p>
      <w:r>
        <w:t xml:space="preserve">(2) Das Verfahren zur Verlegung der parkinternen Seekabelsysteme ist so zu wählen, dass die Überdeckung, die zur Einhaltung der maximalen Sedimenterwärmung nach Absatz 1 erforderlich ist, mit möglichst geringen Umweltauswirkungen erreicht wird.</w:t>
      </w:r>
    </w:p>
    <w:p>
      <w:r>
        <w:rPr>
          <w:color w:val="555555"/>
          <w:sz w:val="17"/>
        </w:rPr>
        <w:t xml:space="preserve">Zitiervorschlag: § 5 WindSeeV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https://recht.nulegal.eu/gesetze/WindSeeV%202/5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