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WindSeeV 2 — Monitoring</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Der Träger des Vorhabens hat während der Bauphase und mindestens während der drei ersten Jahre des Betriebes der Anlagen ein Monitoring zu den bau- und betriebsbedingten Auswirkungen der Anlagen als Grundlage für durch die Planfeststellungsbehörde oder das Bundesamt für Seeschifffahrt und Hydrographie als zuständige Überwachungsbehörde gegebenenfalls anzuordnenden Maßnahmen zum Schutz der Meeresumwelt nach § 48 Absatz 4 Satz 1 Nummer 1 des Windenergie-auf-See-Gesetzes oder nach § 57 Absatz 2, 3 oder Absatz 5 des Windenergie-auf-See-Gesetzes durchzuführen.</w:t>
      </w:r>
    </w:p>
    <w:p>
      <w:r>
        <w:t xml:space="preserve">(2) Als Grundlage für das Monitoring ist das Ergebnis der Basisaufnahme auf der Grundlage der Ergebnisse eines vor Baubeginn durchzuführenden dritten Untersuchungsjahres zu aktualisieren, wenn zwischen dem Ende der Basisaufnahme und dem Baubeginn nicht mehr als fünf Jahre liegen. Liegen zwischen dem Ende der Basisaufnahme und dem Baubeginn mehr als fünf Jahre, so ist die Basisaufnahme vor Baubeginn vollständig zu wiederholen. Die dazu gemäß Abschnitt 10.1 des „Standard Untersuchung der Auswirkungen von Offshore-Windenergieanlagen auf die Meeresumwelt“ bestehende Möglichkeit, einen Antrag auf Verkürzung der Untersuchungen zu stellen, bleibt unberührt.</w:t>
      </w:r>
    </w:p>
    <w:p>
      <w:r>
        <w:t xml:space="preserve">(3) Die Untersuchungen der Meeresumwelt sind nach dem Stand der Wissenschaft und Technik durchzuführen. Die Einhaltung des Stands der Wissenschaft und Technik wird vermutet, wenn die Untersuchungen unter Beachtung des „Standard Untersuchung der Auswirkungen von Offshore-Windenergieanlagen auf die Meeresumwelt“[3] durchgeführt werden.</w:t>
      </w:r>
    </w:p>
    <w:p>
      <w:r>
        <w:t xml:space="preserve">3 Amtlicher Hinweis: Herausgegeben von und zu beziehen beim Bundesamt für Seeschifffahrt und Hydrographie, Bernhard-Nocht-Straße 78, 20359 Hamburg und in der Deutschen Nationalbibliothek archivmäßig gesichert hinterlegt.</w:t>
      </w:r>
    </w:p>
    <w:p>
      <w:r>
        <w:rPr>
          <w:color w:val="555555"/>
          <w:sz w:val="17"/>
        </w:rPr>
        <w:t xml:space="preserve">Zitiervorschlag: § 4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