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WindSeeV 2 — Besondere Bestimmungen zur Vereinbarkeit mit Kulturgütern</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Um das Schiffswrack mit dem Wrackmittelpunkt 54°16.2354'N;006°18.5607'E; WGS84 ist eine Ausschlusszone mit einem Radius von 50 Metern um den Wrackmittelpunkt einzuhalten.</w:t>
      </w:r>
    </w:p>
    <w:p>
      <w:r>
        <w:t xml:space="preserve">(2) Um das Schiffswrack mit dem Wrackmittelpunkt 54°16.9768'N;006°15.8848'E; WGS84 ist eine Ausschlusszone mit einem Radius von 30 Metern um den Wrackmittelpunkt einzuhalten, bis eine nähere Einordnung der Wrackstelle möglich ist.</w:t>
      </w:r>
    </w:p>
    <w:p>
      <w:r>
        <w:t xml:space="preserve">(3) Die Planfeststellungsbehörde kann anordnen, dass der Träger des Vorhabens durch geeignete Maßnahmen und unter Einbindung von Denkmalschutz- und Denkmalfachbehörden sicherzustellen hat, dass weitere wissenschaftliche Untersuchungen und Dokumentationen der Kulturgüter und archäologischen Kulturgüter durchgeführt und die dazugehörigen Gegenstände entweder an Ort und Stelle oder durch Bergung erhalten und bewahrt werden können.</w:t>
      </w:r>
    </w:p>
    <w:p>
      <w:r>
        <w:rPr>
          <w:color w:val="555555"/>
          <w:sz w:val="17"/>
        </w:rPr>
        <w:t xml:space="preserve">Zitiervorschlag: § 39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