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WindSeeV 2 — Sonstige Pflichten</w:t>
      </w:r>
    </w:p>
    <w:p>
      <w:r>
        <w:rPr>
          <w:color w:val="555555"/>
          <w:sz w:val="18"/>
        </w:rPr>
        <w:t xml:space="preserve">Zweite Windenergie-auf-See-Verordnung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Die Pflichten des Trägers des Vorhabens zur Gewährleistung der Sicherheit und des Gesundheitsschutzes bei der Arbeit in seiner Eigenschaft als Arbeitgeber bleiben unberührt.</w:t>
      </w:r>
    </w:p>
    <w:p>
      <w:r>
        <w:rPr>
          <w:color w:val="555555"/>
          <w:sz w:val="17"/>
        </w:rPr>
        <w:t xml:space="preserve">Zitiervorschlag: § 33 WindSeeV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https://recht.nulegal.eu/gesetze/WindSeeV%202/33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