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WindSeeV 2 — Evakuierung, Rettung und notfallmedizinische Versorgung sowie Brand- und Explosionsschutz</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Der Träger des Vorhabens hat ein projektspezifisches Flucht- und Rettungskonzept sowie ein bauliches, anlagentechnisches und organisatorisches Brand- und Explosionsschutzkonzept zu erstellen, regelmäßig zu aktualisieren und umzusetzen. Die Konzepte und deren Umsetzung sind so aufeinander abzustimmen, dass eine rechtzeitige Evakuierung und Rettung sichergestellt ist.</w:t>
      </w:r>
    </w:p>
    <w:p>
      <w:r>
        <w:t xml:space="preserve">(2) Der Träger des Vorhabens hat nachzuweisen, dass er bei der Erstellung und Umsetzung der Konzepte nach Absatz 1 fachkundig beraten wird. Die Anforderungen des § 3 Absatz 2 und 3 der Arbeitsstättenverordnung vom 12. August 2004 (BGBl. I S. 2179), die zuletzt durch Artikel 4 des Gesetzes vom 22. Dezember 2020 (BGBl. I S. 3334) geändert worden ist, sind entsprechend anzuwenden.</w:t>
      </w:r>
    </w:p>
    <w:p>
      <w:r>
        <w:t xml:space="preserve">(3) Der Träger des Vorhabens hat sicherzustellen, dass notfallmedizinische Maßnahmen unverzüglich nach Eintritt eines Notfalls umgesetzt werden können. Der Träger des Vorhabens hat die Rettungskette bis zu dem nächsten geeigneten Krankenhaus sicherzustellen, soweit die Rettungskette nicht anderweitig sichergestellt ist.</w:t>
      </w:r>
    </w:p>
    <w:p>
      <w:r>
        <w:t xml:space="preserve">(4) Für eine Anlage sind mindestens zwei für den Zweck der Flucht und Rettung geeignete, voneinander unabhängige Zu- und Abgangsmöglichkeiten vorzusehen, die unterschiedliche Verkehrssysteme nutzen sollen.</w:t>
      </w:r>
    </w:p>
    <w:p>
      <w:r>
        <w:rPr>
          <w:color w:val="555555"/>
          <w:sz w:val="17"/>
        </w:rPr>
        <w:t xml:space="preserve">Zitiervorschlag: § 30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