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WindSeeV 2 — Kennzeichnung von Luftfahrthindernissen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Der Träger des Vorhabens hat die Anlagen als Luftfahrthindernisse sowie sonstige Hindernisse in der Umgebung des Hubschrauberlandedecks gemäß den folgenden Vorschriften zu kennzeichnen:</w:t>
      </w:r>
    </w:p>
    <w:p>
      <w:pPr>
        <w:ind w:left="420"/>
      </w:pPr>
      <w:r>
        <w:t xml:space="preserve">1. bis zum Inkrafttreten des „Standard Offshore-Luftfahrt für die deutsche ausschließliche Wirtschaftszone“[23] des Bundesministeriums für Digitales und Verkehr gemäß dem „Standard Offshore-Luftfahrt, Teil 5: Kennzeichnung von Luftfahrthindernissen in der AWZ“[24] vom 17. August 2020,</w:t>
      </w:r>
    </w:p>
    <w:p>
      <w:pPr>
        <w:ind w:left="420"/>
      </w:pPr>
      <w:r>
        <w:t xml:space="preserve">2. nach Inkrafttreten des „Standard Offshore-Luftfahrt für die deutsche ausschließliche Wirtschaftszone“[25] des Bundesministeriums für Digitales und Verkehr gemäß dessen Bestimmungen.</w:t>
      </w:r>
    </w:p>
    <w:p>
      <w:r>
        <w:t xml:space="preserve">23 Amtlicher Hinweis: Nach Veröffentlichung zu beziehen beim Bundesamt für Seeschifffahrt und Hydrographie, Bernhard-Nocht-Straße 78, 20359 Hamburg.</w:t>
      </w:r>
    </w:p>
    <w:p>
      <w:r>
        <w:t xml:space="preserve">24 Amtlicher Hinweis: Herausgegeben von und zu beziehen beim Bundesamt für Seeschifffahrt und Hydrographie, Bernhard-Nocht-Straße 78, 20359 Hamburg und in der Deutschen Nationalbibliothek archivmäßig gesichert niedergelegt.</w:t>
      </w:r>
    </w:p>
    <w:p>
      <w:r>
        <w:t xml:space="preserve">25 Amtlicher Hinweis: Nach Veröffentlichung zu beziehen beim Bundesamt für Seeschifffahrt und Hydrographie, Bernhard-Nocht-Straße 78, 20359 Hamburg.</w:t>
      </w:r>
    </w:p>
    <w:p>
      <w:r>
        <w:rPr>
          <w:color w:val="555555"/>
          <w:sz w:val="17"/>
        </w:rPr>
        <w:t xml:space="preserve">Zitiervorschlag: § 27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