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WindSeeV 2 — Turmanstrahlung</w:t>
      </w:r>
    </w:p>
    <w:p>
      <w:r>
        <w:rPr>
          <w:color w:val="555555"/>
          <w:sz w:val="18"/>
        </w:rPr>
        <w:t xml:space="preserve">Zweite Windenergie-auf-See-Verordnung</w:t>
      </w:r>
    </w:p>
    <w:p>
      <w:r>
        <w:rPr>
          <w:color w:val="555555"/>
          <w:sz w:val="18"/>
        </w:rPr>
        <w:t xml:space="preserve">Stand: 28.01.2022 (konsolidierte Textfassung, kein amtliches Inkrafttretensdatum)</w:t>
      </w:r>
    </w:p>
    <w:p>
      <w:r>
        <w:t xml:space="preserve">(1) Wenn das Hubschrauberlandedeck nachts betrieben werden soll, hat der Träger des Vorhabens die eigenen Windenergieanlagen entlang der Flugkorridore mit einer Turmanstrahlung gemäß den „WSV-Rahmenvorgaben Kennzeichnung Offshore-Anlagen“[22] zu versehen. Es sind Vorkehrungen zu treffen, die die Aktivierung und Deaktivierung der Turmanstrahlung zusammen mit der übrigen aeronautischen Befeuerung des Hubschrauberlandedecks sicherstellen.</w:t>
      </w:r>
    </w:p>
    <w:p>
      <w:r>
        <w:t xml:space="preserve">(2) Soweit Flugkorridore Dritter in der Fläche liegen oder unmittelbar an diese angrenzen, hat der Träger des Vorhabens die Installation von Turmanstrahlungen an den betroffenen Windenergieanlagen zu dulden und den Fernzugriff zum Zweck der Steuerung der Turmanstrahlung zu ermöglichen. Dem Dritten ist als Betreiber der Turmanstrahlung zum Zweck des geregelten Betriebs, zur Wartung während der üblichen Betriebs- und Geschäftszeiten und zur Störungsbehebung Zugang zu den betreffenden Windenergieanlagen zu gewähren, soweit keine anderweitigen Vereinbarungen über Wartung und Betrieb einschließlich der Störungsbehebung getroffen wurden.</w:t>
      </w:r>
    </w:p>
    <w:p>
      <w:r>
        <w:t xml:space="preserve">22 Amtlicher Hinweis: Herausgegeben von und zu beziehen bei der Generaldirektion Wasserstraßen und Schifffahrt, Am Propsthof 51, 53121 Bonn.</w:t>
      </w:r>
    </w:p>
    <w:p>
      <w:r>
        <w:rPr>
          <w:color w:val="555555"/>
          <w:sz w:val="17"/>
        </w:rPr>
        <w:t xml:space="preserve">Zitiervorschlag: § 26 WindSeeV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https://recht.nulegal.eu/gesetze/WindSeeV%202/26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