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WindSeeV 2 — Hubschrauberwindenbetrieb und Windenbetriebsflächen</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Auf einer Windenergieanlage ist die Windenbetriebsfläche durch den Träger des Vorhabens nach den folgenden Vorschriften auszugestalten, zu kennzeichnen und zu betreiben:</w:t>
      </w:r>
    </w:p>
    <w:p>
      <w:pPr>
        <w:ind w:left="420"/>
      </w:pPr>
      <w:r>
        <w:t xml:space="preserve">1. bis zum Inkrafttreten des „Standard Offshore-Luftfahrt für die deutsche ausschließliche Wirtschaftszone“[14] des Bundesministeriums für Digitales und Verkehr gemäß den Regelungen der „Gemeinsamen Grundsätze des Bundes und der Länder über Windenbetriebsflächen auf Windenergieanlagen“ vom 18. Januar 2012 (BAnz. Nr. 16, S. 338),</w:t>
      </w:r>
    </w:p>
    <w:p>
      <w:pPr>
        <w:ind w:left="420"/>
      </w:pPr>
      <w:r>
        <w:t xml:space="preserve">2. nach dem Inkrafttreten des „Standard Offshore-Luftfahrt für die deutsche ausschließliche Wirtschaftszone“[15] des Bundesministeriums für Digitales und Verkehr gemäß dessen Bestimmungen.</w:t>
      </w:r>
    </w:p>
    <w:p>
      <w:r>
        <w:t xml:space="preserve">(2) Auf einer Offshore-Plattform kann eine Windenbetriebsfläche für den Notfall als Rettungsfläche eingerichtet werden. Ihre Nutzung ist grundsätzlich auf die Abwehr von Gefahren für Leib und Leben von Personen (Notfall) oder auf erforderliche hoheitliche Maßnahmen beschränkt.</w:t>
      </w:r>
    </w:p>
    <w:p>
      <w:r>
        <w:t xml:space="preserve">(3) Eine über Absatz 2 hinausgehende Nutzung der Windenbetriebsfläche als Rettungsfläche auf einer Offshore-Plattform ist ausnahmsweise zulässig, wenn bei einem technischen Störfall</w:t>
      </w:r>
    </w:p>
    <w:p>
      <w:pPr>
        <w:ind w:left="420"/>
      </w:pPr>
      <w:r>
        <w:t xml:space="preserve">1. das Gefahrenpotential innerhalb eines kurzen Zeitraums reduziert werden muss, um den Eintritt eines Notfalls zu verhindern,</w:t>
      </w:r>
    </w:p>
    <w:p>
      <w:pPr>
        <w:ind w:left="420"/>
      </w:pPr>
      <w:r>
        <w:t xml:space="preserve">2. eine Einflussnahme von Land aus nicht möglich ist oder eingeleitete Gegenmaßnahmen ohne Erfolg geblieben sind und</w:t>
      </w:r>
    </w:p>
    <w:p>
      <w:pPr>
        <w:ind w:left="420"/>
      </w:pPr>
      <w:r>
        <w:t xml:space="preserve">3. temporär keine geeigneteren Zugangsmöglichkeiten zur Offshore-Plattform zur Verfügung stehen.</w:t>
      </w:r>
    </w:p>
    <w:p>
      <w:r>
        <w:t xml:space="preserve">(4) Ein Regelzugang von Personen zur Offshore-Plattform mittels Hubschrauberwindenbetrieb ist nicht gestattet.</w:t>
      </w:r>
    </w:p>
    <w:p>
      <w:r>
        <w:t xml:space="preserve">(5) Eine Windenbetriebsfläche für den Notfall als Rettungsfläche einer Offshore-Plattform ist durch den Träger des Vorhabens nach den folgenden Vorschriften auszugestalten und zu kennzeichnen:</w:t>
      </w:r>
    </w:p>
    <w:p>
      <w:pPr>
        <w:ind w:left="420"/>
      </w:pPr>
      <w:r>
        <w:t xml:space="preserve">1. bis zum Inkrafttreten des „Standard Offshore-Luftfahrt für die deutsche ausschließliche Wirtschaftszone“[16] des Bundesministeriums für Digitales und Verkehr gemäß Kapitel 7 des ICAO-Dokuments 9261 Leitfaden für Hubschrauberlandeplätze in der Fassung von 2021 zu Anhang 14 Band II zum Abkommen über die Internationale Zivilluftfahrt vom 7. Dezember 1944 (BGBl. 1956 II S. 411, 412), das zuletzt durch die Protokolle vom 6. Oktober 2016 (BGBl. 2018 II S. 306, 307) geändert worden ist,</w:t>
      </w:r>
    </w:p>
    <w:p>
      <w:pPr>
        <w:ind w:left="420"/>
      </w:pPr>
      <w:r>
        <w:t xml:space="preserve">2. nach dem Inkrafttreten des „Standard Offshore-Luftfahrt für die deutsche ausschließliche Wirtschaftszone“[17] des Bundesministeriums für Digitales und Verkehr gemäß dessen Bestimmungen.</w:t>
      </w:r>
    </w:p>
    <w:p>
      <w:r>
        <w:t xml:space="preserve">14 Amtlicher Hinweis: Nach Veröffentlichung zu beziehen beim Bundesamt für Seeschifffahrt und Hydrographie, Bernhard-Nocht-Straße 78, 20359 Hamburg.</w:t>
      </w:r>
    </w:p>
    <w:p>
      <w:r>
        <w:t xml:space="preserve">15 Amtlicher Hinweis: Nach Veröffentlichung zu beziehen beim Bundesamt für Seeschifffahrt und Hydrographie, Bernhard-Nocht-Straße 78, 20359 Hamburg.</w:t>
      </w:r>
    </w:p>
    <w:p>
      <w:r>
        <w:t xml:space="preserve">16 Amtlicher Hinweis: Nach Veröffentlichung zu beziehen beim Bundesamt für Seeschifffahrt und Hydrographie, Bernhard-Nocht-Straße 78, 20359 Hamburg.</w:t>
      </w:r>
    </w:p>
    <w:p>
      <w:r>
        <w:t xml:space="preserve">17 Amtlicher Hinweis: Nach Veröffentlichung zu beziehen beim Bundesamt für Seeschifffahrt und Hydrographie, Bernhard-Nocht-Straße 78, 20359 Hamburg.</w:t>
      </w:r>
    </w:p>
    <w:p>
      <w:r>
        <w:rPr>
          <w:color w:val="555555"/>
          <w:sz w:val="17"/>
        </w:rPr>
        <w:t xml:space="preserve">Zitiervorschlag: § 23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