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WindSeeV 2 — Verkehrssicherung während der Bauphase</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Zur Sicherung des Umfeldes der Baustelle und zur Vermeidung von Kollisionen mit Schiffen hat der Träger des Vorhabens ab Installationsbeginn und soweit zu Verkehrssicherungszwecken erforderlich, bereits ab Beginn erforderlicher bauvorbereitender Maßnahmen und während der gesamten Bauphase ein Verkehrssicherungsfahrzeug im Baustellenumfeld einzusetzen, um bei Bedarf verkehrssichernde Maßnahmen ergreifen zu können. Das Verkehrssicherungsfahrzeug ist ausschließlich für diesen Zweck einzusetzen. Das Verkehrssicherungsfahrzeug und seine Nutzung haben dem Stand der Technik zu entsprechen. Die Einhaltung des Stands der Technik wird vermutet, wenn die Anforderungen an Verkehrssicherungsfahrzeuge der „Richtlinie Offshore-Anlagen zur Gewährleistung der Sicherheit und Leichtigkeit des Schiffsverkehrs“[11] erfüllt werden.</w:t>
      </w:r>
    </w:p>
    <w:p>
      <w:r>
        <w:t xml:space="preserve">(2) Bis zur Inbetriebnahme der regulären Kennzeichnung hat der Träger des Vorhabens die Anlagen nach dem Stand der Technik behelfsmäßig visuell und funktechnisch zu kennzeichnen. Die Einhaltung des Stands der Technik wird vermutet, wenn die Anforderungen an die behelfsmäßige visuelle Kennzeichnung und an die Automatic Identification System (AIS)-Kennzeichnung der „Richtlinie Offshore-Anlagen zur Gewährleistung der Sicherheit und Leichtigkeit des Schiffsverkehrs“[12] erfüllt werden.</w:t>
      </w:r>
    </w:p>
    <w:p>
      <w:r>
        <w:t xml:space="preserve">(3) Der Träger des Vorhabens hat das Baufeld nach dem Stand der Technik durch Auslegung befeuerter Kardinaltonnen als allgemeine Gefahrenstelle zu kennzeichnen. Die Einhaltung des Stands der Technik wird vermutet, wenn die Anforderungen an die Auslegung schwimmender Schifffahrtszeichen der „Richtlinie Offshore-Anlagen zur Gewährleistung der Sicherheit und Leichtigkeit des Schiffsverkehrs“[13] erfüllt werden.</w:t>
      </w:r>
    </w:p>
    <w:p>
      <w:r>
        <w:t xml:space="preserve">11 Amtlicher Hinweis: Herausgegeben von und zu beziehen bei der Generaldirektion Wasserstraßen und Schifffahrt, Am Propsthof 51, 53121 Bonn.</w:t>
      </w:r>
    </w:p>
    <w:p>
      <w:r>
        <w:t xml:space="preserve">12 Amtlicher Hinweis: Herausgegeben von und zu beziehen bei der Generaldirektion Wasserstraßen und Schifffahrt, Am Probsthof 51, 53121 Bonn.</w:t>
      </w:r>
    </w:p>
    <w:p>
      <w:r>
        <w:t xml:space="preserve">13 Amtlicher Hinweis: Herausgegeben von und zu beziehen bei der Generaldirektion Wasserstraßen und Schifffahrt, Am Propsthof 51, 53121 Bonn.</w:t>
      </w:r>
    </w:p>
    <w:p>
      <w:r>
        <w:rPr>
          <w:color w:val="555555"/>
          <w:sz w:val="17"/>
        </w:rPr>
        <w:t xml:space="preserve">Zitiervorschlag: § 20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