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WindSeeV 2 — Kolk- und Kabelschutz</w:t>
      </w:r>
    </w:p>
    <w:p>
      <w:r>
        <w:rPr>
          <w:color w:val="555555"/>
          <w:sz w:val="18"/>
        </w:rPr>
        <w:t xml:space="preserve">Zweite Windenergie-auf-See-Verordnung</w:t>
      </w:r>
    </w:p>
    <w:p>
      <w:r>
        <w:rPr>
          <w:color w:val="555555"/>
          <w:sz w:val="18"/>
        </w:rPr>
        <w:t xml:space="preserve">Stand: 28.01.2022 (konsolidierte Textfassung, kein amtliches Inkrafttretensdatum)</w:t>
      </w:r>
    </w:p>
    <w:p>
      <w:r>
        <w:t xml:space="preserve">(1) Bei Kolk- und Kabelschutzmaßnahmen hat der Träger des Vorhabens das Einbringen von Hartsubstrat auf das zur Herstellung des Schutzes der jeweiligen Anlage erforderliche Mindestmaß zu begrenzen.</w:t>
      </w:r>
    </w:p>
    <w:p>
      <w:r>
        <w:t xml:space="preserve">(2) Als Kolkschutz sind ausschließlich Schüttungen aus Natursteinen oder inerten und natürlichen Materialien einzusetzen. Der Einsatz von Kunststoff oder kunststoffähnlichen Materialien ist nicht zulässig.</w:t>
      </w:r>
    </w:p>
    <w:p>
      <w:r>
        <w:t xml:space="preserve">(3) Als Kabelschutz sind grundsätzlich Schüttungen aus Natursteinen oder inerten und natürlichen Materialien einzusetzen. Der Einsatz von Kabelschutzsystemen, die Kunststoff enthalten, ist nur im Ausnahmefall zulässig und auf ein Mindestmaß zu begrenzen.</w:t>
      </w:r>
    </w:p>
    <w:p>
      <w:r>
        <w:rPr>
          <w:color w:val="555555"/>
          <w:sz w:val="17"/>
        </w:rPr>
        <w:t xml:space="preserve">Zitiervorschlag: § 16 WindSeeV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https://recht.nulegal.eu/gesetze/WindSeeV%202/16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