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WindSeeV 2 — Löschschaum auf Hubschrauberlandedecks</w:t>
      </w:r>
    </w:p>
    <w:p>
      <w:r>
        <w:rPr>
          <w:color w:val="555555"/>
          <w:sz w:val="18"/>
        </w:rPr>
        <w:t xml:space="preserve">Zweite Windenergie-auf-See-Verordnung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(1) Auf Hubschrauberlandedecks dürfen Schaummittel zur Löschschaumproduktion keine per- und polyfluorierten Chemikalien enthalten.</w:t>
      </w:r>
    </w:p>
    <w:p>
      <w:r>
        <w:t xml:space="preserve">(2) An Hubschrauberlandedecks angeschlossene Drainagesysteme müssen Bypass-Systeme besitzen, die sicherstellen, dass der anfallende Löschschaum unter Umgehung der Leichtflüssigkeitsabscheider automatisch in einen Sammeltank abgeleitet wird. Der Löschschaum darf nicht über das Drainagesystem in die Meeresumwelt eingeleitet werden.</w:t>
      </w:r>
    </w:p>
    <w:p>
      <w:r>
        <w:t xml:space="preserve">(3) Feuerlöschübungen sind ausschließlich mit Wasser durchzuführen.</w:t>
      </w:r>
    </w:p>
    <w:p>
      <w:r>
        <w:rPr>
          <w:color w:val="555555"/>
          <w:sz w:val="17"/>
        </w:rPr>
        <w:t xml:space="preserve">Zitiervorschlag: § 14 WindSeeV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https://recht.nulegal.eu/gesetze/WindSeeV%202/14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